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0C57" w14:textId="6C5B490E" w:rsidR="00AD2CBC" w:rsidRDefault="00846D92" w:rsidP="00E544B5">
      <w:pPr>
        <w:rPr>
          <w:b/>
          <w:sz w:val="60"/>
          <w:szCs w:val="6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9395D22" wp14:editId="5442DF0D">
            <wp:simplePos x="0" y="0"/>
            <wp:positionH relativeFrom="column">
              <wp:posOffset>1082040</wp:posOffset>
            </wp:positionH>
            <wp:positionV relativeFrom="paragraph">
              <wp:posOffset>-777875</wp:posOffset>
            </wp:positionV>
            <wp:extent cx="3099435" cy="1038272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ild It_ES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1038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07160" w14:textId="29EB5F20" w:rsidR="00E544B5" w:rsidRPr="00BF4C66" w:rsidRDefault="00E544B5" w:rsidP="00E544B5">
      <w:pPr>
        <w:rPr>
          <w:b/>
          <w:sz w:val="60"/>
          <w:szCs w:val="60"/>
        </w:rPr>
      </w:pPr>
      <w:r>
        <w:rPr>
          <w:b/>
          <w:sz w:val="60"/>
          <w:szCs w:val="60"/>
        </w:rPr>
        <w:t>Yo</w:t>
      </w:r>
      <w:r w:rsidRPr="00BF4C66">
        <w:rPr>
          <w:b/>
          <w:sz w:val="60"/>
          <w:szCs w:val="60"/>
        </w:rPr>
        <w:t>ur Build It Benchmark report</w:t>
      </w:r>
    </w:p>
    <w:p w14:paraId="79DA2AC4" w14:textId="0793EB38" w:rsidR="00E544B5" w:rsidRPr="00F868FE" w:rsidRDefault="00E544B5" w:rsidP="00E544B5">
      <w:pPr>
        <w:rPr>
          <w:rFonts w:cstheme="minorHAnsi"/>
        </w:rPr>
      </w:pPr>
      <w:r w:rsidRPr="00F868FE">
        <w:rPr>
          <w:rFonts w:cstheme="minorHAnsi"/>
        </w:rPr>
        <w:t xml:space="preserve">Please find enclosed Benchmark </w:t>
      </w:r>
      <w:r w:rsidR="000C4289" w:rsidRPr="00F868FE">
        <w:rPr>
          <w:rFonts w:cstheme="minorHAnsi"/>
        </w:rPr>
        <w:t>budget, which</w:t>
      </w:r>
      <w:r w:rsidRPr="00F868FE">
        <w:rPr>
          <w:rFonts w:cstheme="minorHAnsi"/>
        </w:rPr>
        <w:t xml:space="preserve"> provides an indicative cost of your project based on the following information:</w:t>
      </w:r>
    </w:p>
    <w:p w14:paraId="7D1F6405" w14:textId="7196D357" w:rsidR="00E544B5" w:rsidRPr="00F868FE" w:rsidRDefault="00E544B5" w:rsidP="00E544B5">
      <w:pPr>
        <w:rPr>
          <w:rFonts w:cstheme="minorHAnsi"/>
        </w:rPr>
      </w:pPr>
      <w:r w:rsidRPr="00F868FE">
        <w:rPr>
          <w:rFonts w:cstheme="minorHAnsi"/>
        </w:rPr>
        <w:t>Gross area of house:</w:t>
      </w:r>
      <w:r w:rsidRPr="00F868FE">
        <w:rPr>
          <w:rFonts w:cstheme="minorHAnsi"/>
        </w:rPr>
        <w:tab/>
        <w:t xml:space="preserve"> 200 m2</w:t>
      </w:r>
      <w:bookmarkStart w:id="0" w:name="_GoBack"/>
      <w:bookmarkEnd w:id="0"/>
    </w:p>
    <w:p w14:paraId="4947688F" w14:textId="19064500" w:rsidR="00AD2CBC" w:rsidRPr="00F868FE" w:rsidRDefault="00AD2CBC" w:rsidP="00E544B5">
      <w:pPr>
        <w:rPr>
          <w:rFonts w:cstheme="minorHAnsi"/>
        </w:rPr>
      </w:pPr>
      <w:r w:rsidRPr="00F868FE">
        <w:rPr>
          <w:rFonts w:cstheme="minorHAnsi"/>
        </w:rPr>
        <w:t>Contract</w:t>
      </w:r>
      <w:r w:rsidR="00B7658D" w:rsidRPr="00F868FE">
        <w:rPr>
          <w:rFonts w:cstheme="minorHAnsi"/>
        </w:rPr>
        <w:t>:</w:t>
      </w:r>
      <w:r w:rsidRPr="00F868FE">
        <w:rPr>
          <w:rFonts w:cstheme="minorHAnsi"/>
        </w:rPr>
        <w:t xml:space="preserve"> </w:t>
      </w:r>
      <w:r w:rsidRPr="00F868FE">
        <w:rPr>
          <w:rFonts w:cstheme="minorHAnsi"/>
        </w:rPr>
        <w:tab/>
      </w:r>
      <w:r w:rsidRPr="00F868FE">
        <w:rPr>
          <w:rFonts w:cstheme="minorHAnsi"/>
        </w:rPr>
        <w:tab/>
      </w:r>
      <w:r w:rsidR="000441AE" w:rsidRPr="00F868FE">
        <w:rPr>
          <w:rFonts w:cstheme="minorHAnsi"/>
        </w:rPr>
        <w:t>Project managed via main contractor</w:t>
      </w:r>
    </w:p>
    <w:p w14:paraId="7065BC80" w14:textId="43F8F166" w:rsidR="00E544B5" w:rsidRPr="00F868FE" w:rsidRDefault="00E544B5" w:rsidP="00E544B5">
      <w:pPr>
        <w:rPr>
          <w:rFonts w:cstheme="minorHAnsi"/>
        </w:rPr>
      </w:pPr>
      <w:r w:rsidRPr="00F868FE">
        <w:rPr>
          <w:rFonts w:cstheme="minorHAnsi"/>
        </w:rPr>
        <w:t>Build Quality:</w:t>
      </w:r>
      <w:r w:rsidRPr="00F868FE">
        <w:rPr>
          <w:rFonts w:cstheme="minorHAnsi"/>
        </w:rPr>
        <w:tab/>
      </w:r>
      <w:r w:rsidRPr="00F868FE">
        <w:rPr>
          <w:rFonts w:cstheme="minorHAnsi"/>
        </w:rPr>
        <w:tab/>
        <w:t>Average</w:t>
      </w:r>
    </w:p>
    <w:p w14:paraId="4051C181" w14:textId="04DF7960" w:rsidR="00E544B5" w:rsidRPr="00F868FE" w:rsidRDefault="00AD2CBC" w:rsidP="00E544B5">
      <w:pPr>
        <w:rPr>
          <w:rFonts w:cstheme="minorHAnsi"/>
        </w:rPr>
      </w:pPr>
      <w:r w:rsidRPr="00F868FE">
        <w:rPr>
          <w:rFonts w:cstheme="minorHAnsi"/>
        </w:rPr>
        <w:t>Groundworks</w:t>
      </w:r>
      <w:r w:rsidR="00B14CEB" w:rsidRPr="00F868FE">
        <w:rPr>
          <w:rFonts w:cstheme="minorHAnsi"/>
        </w:rPr>
        <w:t>*</w:t>
      </w:r>
      <w:r w:rsidR="00B7658D" w:rsidRPr="00F868FE">
        <w:rPr>
          <w:rFonts w:cstheme="minorHAnsi"/>
        </w:rPr>
        <w:t>:</w:t>
      </w:r>
      <w:r w:rsidR="00E544B5" w:rsidRPr="00F868FE">
        <w:rPr>
          <w:rFonts w:cstheme="minorHAnsi"/>
        </w:rPr>
        <w:tab/>
      </w:r>
      <w:r w:rsidR="00E544B5" w:rsidRPr="00F868FE">
        <w:rPr>
          <w:rFonts w:cstheme="minorHAnsi"/>
        </w:rPr>
        <w:tab/>
      </w:r>
      <w:r w:rsidRPr="00F868FE">
        <w:rPr>
          <w:rFonts w:cstheme="minorHAnsi"/>
        </w:rPr>
        <w:t>Included in estimate</w:t>
      </w:r>
    </w:p>
    <w:p w14:paraId="0812648B" w14:textId="77777777" w:rsidR="000C4289" w:rsidRDefault="00AD2CBC" w:rsidP="000C4289">
      <w:pPr>
        <w:rPr>
          <w:rFonts w:cstheme="minorHAnsi"/>
        </w:rPr>
      </w:pPr>
      <w:r w:rsidRPr="00F868FE">
        <w:rPr>
          <w:rFonts w:cstheme="minorHAnsi"/>
        </w:rPr>
        <w:t>Construction</w:t>
      </w:r>
      <w:r w:rsidR="00B7658D" w:rsidRPr="00F868FE">
        <w:rPr>
          <w:rFonts w:cstheme="minorHAnsi"/>
        </w:rPr>
        <w:t>:</w:t>
      </w:r>
      <w:r w:rsidRPr="00F868FE">
        <w:rPr>
          <w:rFonts w:cstheme="minorHAnsi"/>
        </w:rPr>
        <w:tab/>
      </w:r>
      <w:r w:rsidRPr="00F868FE">
        <w:rPr>
          <w:rFonts w:cstheme="minorHAnsi"/>
        </w:rPr>
        <w:tab/>
      </w:r>
      <w:r w:rsidR="00BC29F8" w:rsidRPr="00F868FE">
        <w:rPr>
          <w:rFonts w:cstheme="minorHAnsi"/>
        </w:rPr>
        <w:t>Brick &amp; Block</w:t>
      </w:r>
    </w:p>
    <w:p w14:paraId="2B32C10C" w14:textId="1B16AD8A" w:rsidR="000C4289" w:rsidRPr="00F868FE" w:rsidRDefault="000C4289" w:rsidP="000C4289">
      <w:pPr>
        <w:rPr>
          <w:rFonts w:cstheme="minorHAnsi"/>
        </w:rPr>
      </w:pPr>
      <w:r w:rsidRPr="00F868FE">
        <w:rPr>
          <w:rFonts w:cstheme="minorHAnsi"/>
        </w:rPr>
        <w:t xml:space="preserve">*Note Groundworks include foundations, footings, </w:t>
      </w:r>
      <w:r w:rsidR="00917636">
        <w:rPr>
          <w:rFonts w:cstheme="minorHAnsi"/>
        </w:rPr>
        <w:t xml:space="preserve">oversite and slab (ground floor), </w:t>
      </w:r>
      <w:r w:rsidRPr="00F868FE">
        <w:rPr>
          <w:rFonts w:cstheme="minorHAnsi"/>
        </w:rPr>
        <w:t>drains and service ducts but does not include charges payable to service providers.</w:t>
      </w:r>
    </w:p>
    <w:p w14:paraId="5524BD94" w14:textId="77777777" w:rsidR="000C4289" w:rsidRPr="00F868FE" w:rsidRDefault="000C4289" w:rsidP="000C4289">
      <w:pPr>
        <w:rPr>
          <w:rFonts w:cstheme="minorHAnsi"/>
        </w:rPr>
      </w:pPr>
      <w:r w:rsidRPr="00F868FE">
        <w:rPr>
          <w:rFonts w:cstheme="minorHAnsi"/>
        </w:rPr>
        <w:t xml:space="preserve">Remember, this figure is just a guide. We always recommend you opt for a full Build It Estimating Service estimate. There are many variables which will affect the cost of your build – this includes level of specification, complexity of job, build methods, ground conditions, access, material and labour prices and how effectively the project is managed. This </w:t>
      </w:r>
      <w:r>
        <w:rPr>
          <w:rFonts w:cstheme="minorHAnsi"/>
        </w:rPr>
        <w:t>calculation</w:t>
      </w:r>
      <w:r w:rsidRPr="00F868FE">
        <w:rPr>
          <w:rFonts w:cstheme="minorHAnsi"/>
        </w:rPr>
        <w:t xml:space="preserve"> also doesn’t include external works such as landscaping, driveways etc. </w:t>
      </w:r>
    </w:p>
    <w:p w14:paraId="7D89B6E5" w14:textId="373698B1" w:rsidR="000C4289" w:rsidRPr="00F868FE" w:rsidRDefault="000C4289" w:rsidP="000C4289">
      <w:pPr>
        <w:rPr>
          <w:rFonts w:cstheme="minorHAnsi"/>
        </w:rPr>
      </w:pPr>
      <w:r w:rsidRPr="00F868FE">
        <w:rPr>
          <w:rFonts w:cstheme="minorHAnsi"/>
        </w:rPr>
        <w:t xml:space="preserve">You’ll also need to take into account VAT; the indicative figure shown above is net of VAT. </w:t>
      </w:r>
      <w:r>
        <w:rPr>
          <w:rFonts w:cstheme="minorHAnsi"/>
        </w:rPr>
        <w:t xml:space="preserve">Check out our website for more information: </w:t>
      </w:r>
      <w:hyperlink r:id="rId8" w:history="1">
        <w:r w:rsidRPr="00321C68">
          <w:rPr>
            <w:rStyle w:val="Hyperlink"/>
            <w:rFonts w:cstheme="minorHAnsi"/>
          </w:rPr>
          <w:t>www.self-build.co.uk/vat</w:t>
        </w:r>
      </w:hyperlink>
      <w:r>
        <w:rPr>
          <w:rFonts w:cstheme="minorHAnsi"/>
        </w:rPr>
        <w:t xml:space="preserve"> </w:t>
      </w:r>
    </w:p>
    <w:p w14:paraId="273A711E" w14:textId="64573A78" w:rsidR="000C4289" w:rsidRDefault="000C4289" w:rsidP="000C4289">
      <w:pPr>
        <w:rPr>
          <w:rFonts w:cstheme="minorHAnsi"/>
        </w:rPr>
      </w:pPr>
      <w:r w:rsidRPr="00F868FE">
        <w:rPr>
          <w:rFonts w:cstheme="minorHAnsi"/>
        </w:rPr>
        <w:t xml:space="preserve">Please visit </w:t>
      </w:r>
      <w:hyperlink r:id="rId9" w:history="1">
        <w:r w:rsidRPr="00F868FE">
          <w:rPr>
            <w:rStyle w:val="Hyperlink"/>
            <w:rFonts w:cstheme="minorHAnsi"/>
          </w:rPr>
          <w:t>www.self-build.co.uk/estimate</w:t>
        </w:r>
      </w:hyperlink>
      <w:r w:rsidRPr="00F868FE">
        <w:rPr>
          <w:rFonts w:cstheme="minorHAnsi"/>
        </w:rPr>
        <w:t xml:space="preserve"> to arrange for a detailed quotation to be prepared or call 0117 916 7886 or email </w:t>
      </w:r>
      <w:hyperlink r:id="rId10" w:history="1">
        <w:r w:rsidRPr="00F868FE">
          <w:rPr>
            <w:rStyle w:val="Hyperlink"/>
            <w:rFonts w:cstheme="minorHAnsi"/>
          </w:rPr>
          <w:t>buildit@estimating-service.co.uk</w:t>
        </w:r>
      </w:hyperlink>
      <w:r w:rsidRPr="00F868FE">
        <w:rPr>
          <w:rFonts w:cstheme="minorHAnsi"/>
        </w:rPr>
        <w:t xml:space="preserve"> </w:t>
      </w:r>
    </w:p>
    <w:p w14:paraId="394A4612" w14:textId="3E7F62D3" w:rsidR="000C4289" w:rsidRPr="00F868FE" w:rsidRDefault="000C4289" w:rsidP="000C4289">
      <w:pPr>
        <w:rPr>
          <w:rFonts w:cstheme="minorHAnsi"/>
        </w:rPr>
      </w:pPr>
    </w:p>
    <w:p w14:paraId="6006DD0C" w14:textId="38C067DB" w:rsidR="00AD2CBC" w:rsidRPr="00F868FE" w:rsidRDefault="000C4289" w:rsidP="00E544B5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pPr w:leftFromText="180" w:rightFromText="180" w:vertAnchor="text" w:tblpY="1"/>
        <w:tblOverlap w:val="never"/>
        <w:tblW w:w="4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335"/>
      </w:tblGrid>
      <w:tr w:rsidR="00BC29F8" w:rsidRPr="00F868FE" w14:paraId="1AE45C52" w14:textId="77777777" w:rsidTr="00BC29F8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CD7B4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lastRenderedPageBreak/>
              <w:t>Build Phase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C0264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Total</w:t>
            </w:r>
          </w:p>
        </w:tc>
      </w:tr>
      <w:tr w:rsidR="00BC29F8" w:rsidRPr="00F868FE" w14:paraId="5A6DD820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66CC9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Commencement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8414D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£4,488.00</w:t>
            </w:r>
          </w:p>
        </w:tc>
      </w:tr>
      <w:tr w:rsidR="00BC29F8" w:rsidRPr="00F868FE" w14:paraId="7AFA19DB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92376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Site set up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23C8F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£7,140.00</w:t>
            </w:r>
          </w:p>
        </w:tc>
      </w:tr>
      <w:tr w:rsidR="00BC29F8" w:rsidRPr="00F868FE" w14:paraId="6F2BAED6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ED394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Foundations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C7B9B2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£12,240.00</w:t>
            </w:r>
          </w:p>
        </w:tc>
      </w:tr>
      <w:tr w:rsidR="00BC29F8" w:rsidRPr="00F868FE" w14:paraId="16799ACD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DF4B63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Footings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C1AB7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£6,120.00</w:t>
            </w:r>
          </w:p>
        </w:tc>
      </w:tr>
      <w:tr w:rsidR="00BC29F8" w:rsidRPr="00F868FE" w14:paraId="0EB07551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4666A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Oversite and slabbing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9D656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£8,160.00</w:t>
            </w:r>
          </w:p>
        </w:tc>
      </w:tr>
      <w:tr w:rsidR="00BC29F8" w:rsidRPr="00F868FE" w14:paraId="7022EB65" w14:textId="77777777" w:rsidTr="00BC29F8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15043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Drains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C0D7C8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£12,240.00</w:t>
            </w:r>
          </w:p>
        </w:tc>
      </w:tr>
      <w:tr w:rsidR="00BC29F8" w:rsidRPr="00F868FE" w14:paraId="27C11125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D766F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Brickwork Shell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A533CD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£36,720.00</w:t>
            </w:r>
          </w:p>
        </w:tc>
      </w:tr>
      <w:tr w:rsidR="00BC29F8" w:rsidRPr="00F868FE" w14:paraId="2E2B1410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B91D5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Erect Scaffold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6669B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£6,120.00</w:t>
            </w:r>
          </w:p>
        </w:tc>
      </w:tr>
      <w:tr w:rsidR="00BC29F8" w:rsidRPr="00F868FE" w14:paraId="70F9B038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D75CA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Structural Openings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CA744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£12,240.00</w:t>
            </w:r>
          </w:p>
        </w:tc>
      </w:tr>
      <w:tr w:rsidR="00BC29F8" w:rsidRPr="00F868FE" w14:paraId="5C4C00CA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A505A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First Floor Joists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957D8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£6,120.00</w:t>
            </w:r>
          </w:p>
        </w:tc>
      </w:tr>
      <w:tr w:rsidR="00BC29F8" w:rsidRPr="00F868FE" w14:paraId="6D5A1327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C72105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Roof Structure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A9C46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£20,400.00</w:t>
            </w:r>
          </w:p>
        </w:tc>
      </w:tr>
      <w:tr w:rsidR="00BC29F8" w:rsidRPr="00F868FE" w14:paraId="62D7E8B2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DA466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Roof Tiling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89FD1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£18,360.00</w:t>
            </w:r>
          </w:p>
        </w:tc>
      </w:tr>
      <w:tr w:rsidR="00BC29F8" w:rsidRPr="00F868FE" w14:paraId="6754A501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6D15B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Joinery 1st Fix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A379E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£18,360.00</w:t>
            </w:r>
          </w:p>
        </w:tc>
      </w:tr>
      <w:tr w:rsidR="00BC29F8" w:rsidRPr="00F868FE" w14:paraId="7D7236C3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AF3E7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Plumb 1st Fix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7BA4E9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£9,180.00</w:t>
            </w:r>
          </w:p>
        </w:tc>
      </w:tr>
      <w:tr w:rsidR="00BC29F8" w:rsidRPr="00F868FE" w14:paraId="1098DAC8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BD8EB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Electrician 1st Fix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D6F6F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£6,120.00</w:t>
            </w:r>
          </w:p>
        </w:tc>
      </w:tr>
      <w:tr w:rsidR="00BC29F8" w:rsidRPr="00F868FE" w14:paraId="41D4A6D9" w14:textId="77777777" w:rsidTr="00BC29F8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0DDBE2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Plastering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B953E7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£20,400.00</w:t>
            </w:r>
          </w:p>
        </w:tc>
      </w:tr>
      <w:tr w:rsidR="00BC29F8" w:rsidRPr="00F868FE" w14:paraId="1173BB4B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1BC2F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Joinery 2nd Fix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D1963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£15,300.00</w:t>
            </w:r>
          </w:p>
        </w:tc>
      </w:tr>
      <w:tr w:rsidR="00BC29F8" w:rsidRPr="00F868FE" w14:paraId="5A1F39DF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4D4EF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Plumb 2nd Fix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9A081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£8,160.00</w:t>
            </w:r>
          </w:p>
        </w:tc>
      </w:tr>
      <w:tr w:rsidR="00BC29F8" w:rsidRPr="00F868FE" w14:paraId="47C34CD2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C0503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Electrician 2nd Fix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93E99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£8,160.00</w:t>
            </w:r>
          </w:p>
        </w:tc>
      </w:tr>
      <w:tr w:rsidR="00BC29F8" w:rsidRPr="00F868FE" w14:paraId="171B9D17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6FAF1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Internal Fitting Out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5C38C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£12,240.00</w:t>
            </w:r>
          </w:p>
        </w:tc>
      </w:tr>
      <w:tr w:rsidR="00BC29F8" w:rsidRPr="00F868FE" w14:paraId="4D43568E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63CEC" w14:textId="70D40B8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Internal Decoration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BDABE" w14:textId="77777777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£6,120.00</w:t>
            </w:r>
          </w:p>
        </w:tc>
      </w:tr>
      <w:tr w:rsidR="00BC29F8" w:rsidRPr="00F868FE" w14:paraId="03AB56E8" w14:textId="77777777" w:rsidTr="00587386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5C73E2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External Decoration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67DF8" w14:textId="1084B0B8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£1,020.00</w:t>
            </w:r>
          </w:p>
        </w:tc>
      </w:tr>
      <w:tr w:rsidR="00BC29F8" w:rsidRPr="00F868FE" w14:paraId="08F9F8A9" w14:textId="77777777" w:rsidTr="00BC29F8">
        <w:trPr>
          <w:trHeight w:val="300"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1C484" w14:textId="034DC194" w:rsidR="00BC29F8" w:rsidRPr="00F868FE" w:rsidRDefault="000C4289" w:rsidP="0058738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  <w:r w:rsidR="00BC29F8" w:rsidRPr="00F868FE">
              <w:rPr>
                <w:rFonts w:cstheme="minorHAnsi"/>
                <w:color w:val="000000"/>
              </w:rPr>
              <w:t>leaning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CEBAD" w14:textId="4BB4CBB0" w:rsidR="00BC29F8" w:rsidRPr="00F868FE" w:rsidRDefault="00BC29F8" w:rsidP="00587386">
            <w:pPr>
              <w:jc w:val="right"/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£1,632.00</w:t>
            </w:r>
          </w:p>
        </w:tc>
      </w:tr>
      <w:tr w:rsidR="00BC29F8" w:rsidRPr="00F868FE" w14:paraId="02692E2E" w14:textId="77777777" w:rsidTr="00BC29F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51055" w14:textId="77777777" w:rsidR="00BC29F8" w:rsidRPr="00F868FE" w:rsidRDefault="00BC29F8" w:rsidP="00587386">
            <w:pPr>
              <w:rPr>
                <w:rFonts w:cstheme="minorHAnsi"/>
                <w:color w:val="000000"/>
              </w:rPr>
            </w:pPr>
            <w:r w:rsidRPr="00F868FE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07BC6" w14:textId="71F704D6" w:rsidR="00BC29F8" w:rsidRPr="00F868FE" w:rsidRDefault="000C4289" w:rsidP="00587386">
            <w:pPr>
              <w:jc w:val="right"/>
              <w:rPr>
                <w:rFonts w:cstheme="minorHAnsi"/>
                <w:color w:val="00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5B11924" wp14:editId="7568DBA7">
                  <wp:simplePos x="0" y="0"/>
                  <wp:positionH relativeFrom="column">
                    <wp:posOffset>2299970</wp:posOffset>
                  </wp:positionH>
                  <wp:positionV relativeFrom="paragraph">
                    <wp:posOffset>314960</wp:posOffset>
                  </wp:positionV>
                  <wp:extent cx="2025015" cy="6781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ild It_ES_CMY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15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29F8" w:rsidRPr="00F868FE">
              <w:rPr>
                <w:rFonts w:cstheme="minorHAnsi"/>
                <w:color w:val="000000"/>
              </w:rPr>
              <w:t>£257,040.00</w:t>
            </w:r>
          </w:p>
        </w:tc>
      </w:tr>
    </w:tbl>
    <w:p w14:paraId="6F67E9F1" w14:textId="52BF8A2E" w:rsidR="00BC29F8" w:rsidRPr="00F868FE" w:rsidRDefault="00BC29F8" w:rsidP="00BC29F8">
      <w:pPr>
        <w:rPr>
          <w:rFonts w:cstheme="minorHAnsi"/>
          <w:color w:val="1F497D"/>
        </w:rPr>
      </w:pPr>
    </w:p>
    <w:p w14:paraId="0A105EAB" w14:textId="77777777" w:rsidR="00FB6C24" w:rsidRDefault="00FB6C24" w:rsidP="00FB6C24">
      <w:pPr>
        <w:jc w:val="center"/>
      </w:pPr>
    </w:p>
    <w:sectPr w:rsidR="00FB6C24" w:rsidSect="00A56F03"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B016C" w14:textId="77777777" w:rsidR="00BB1F41" w:rsidRDefault="00BB1F41" w:rsidP="000C4289">
      <w:pPr>
        <w:spacing w:after="0" w:line="240" w:lineRule="auto"/>
      </w:pPr>
      <w:r>
        <w:separator/>
      </w:r>
    </w:p>
  </w:endnote>
  <w:endnote w:type="continuationSeparator" w:id="0">
    <w:p w14:paraId="15E90994" w14:textId="77777777" w:rsidR="00BB1F41" w:rsidRDefault="00BB1F41" w:rsidP="000C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4C9A7" w14:textId="77777777" w:rsidR="00BB1F41" w:rsidRDefault="00BB1F41" w:rsidP="000C4289">
      <w:pPr>
        <w:spacing w:after="0" w:line="240" w:lineRule="auto"/>
      </w:pPr>
      <w:r>
        <w:separator/>
      </w:r>
    </w:p>
  </w:footnote>
  <w:footnote w:type="continuationSeparator" w:id="0">
    <w:p w14:paraId="30F2D5F4" w14:textId="77777777" w:rsidR="00BB1F41" w:rsidRDefault="00BB1F41" w:rsidP="000C4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6"/>
    <w:rsid w:val="000441AE"/>
    <w:rsid w:val="000C4289"/>
    <w:rsid w:val="001430E3"/>
    <w:rsid w:val="00176167"/>
    <w:rsid w:val="0039509C"/>
    <w:rsid w:val="00627006"/>
    <w:rsid w:val="006C6480"/>
    <w:rsid w:val="0083228D"/>
    <w:rsid w:val="00846D92"/>
    <w:rsid w:val="009165F2"/>
    <w:rsid w:val="00917636"/>
    <w:rsid w:val="00947AE2"/>
    <w:rsid w:val="00987349"/>
    <w:rsid w:val="009C4431"/>
    <w:rsid w:val="00A56F03"/>
    <w:rsid w:val="00AD2CBC"/>
    <w:rsid w:val="00AF0503"/>
    <w:rsid w:val="00B14CEB"/>
    <w:rsid w:val="00B7658D"/>
    <w:rsid w:val="00BB1F41"/>
    <w:rsid w:val="00BC29F8"/>
    <w:rsid w:val="00BF4C66"/>
    <w:rsid w:val="00DF2BFA"/>
    <w:rsid w:val="00E544B5"/>
    <w:rsid w:val="00ED6D23"/>
    <w:rsid w:val="00F613E8"/>
    <w:rsid w:val="00F868FE"/>
    <w:rsid w:val="00FB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F4070"/>
  <w15:docId w15:val="{CE725CA9-DDBA-4034-8125-03BDAD12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0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F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289"/>
  </w:style>
  <w:style w:type="paragraph" w:styleId="Footer">
    <w:name w:val="footer"/>
    <w:basedOn w:val="Normal"/>
    <w:link w:val="FooterChar"/>
    <w:uiPriority w:val="99"/>
    <w:unhideWhenUsed/>
    <w:rsid w:val="000C4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-build.co.uk/v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buildit@estimating-servic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lf-build.co.uk/estim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7B08-0D7D-439E-B461-ADE0536B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Wild</dc:creator>
  <cp:lastModifiedBy>Camilla Wild</cp:lastModifiedBy>
  <cp:revision>3</cp:revision>
  <cp:lastPrinted>2016-06-08T09:41:00Z</cp:lastPrinted>
  <dcterms:created xsi:type="dcterms:W3CDTF">2017-03-09T16:44:00Z</dcterms:created>
  <dcterms:modified xsi:type="dcterms:W3CDTF">2017-03-09T17:24:00Z</dcterms:modified>
</cp:coreProperties>
</file>